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76D" w:rsidRPr="00791C08" w:rsidRDefault="00AE176D" w:rsidP="00AE176D">
      <w:pPr>
        <w:spacing w:after="0"/>
        <w:jc w:val="center"/>
        <w:rPr>
          <w:b/>
          <w:color w:val="0000FF"/>
          <w:sz w:val="32"/>
          <w:szCs w:val="32"/>
        </w:rPr>
      </w:pPr>
      <w:r w:rsidRPr="00AE176D">
        <w:rPr>
          <w:b/>
          <w:sz w:val="40"/>
          <w:szCs w:val="40"/>
        </w:rPr>
        <w:t>ÕIGUSABI</w:t>
      </w:r>
    </w:p>
    <w:p w:rsidR="00AE176D" w:rsidRDefault="00AE176D" w:rsidP="00AE176D">
      <w:pPr>
        <w:spacing w:after="0"/>
        <w:rPr>
          <w:iCs/>
          <w:sz w:val="32"/>
          <w:szCs w:val="32"/>
        </w:rPr>
      </w:pPr>
      <w:r>
        <w:rPr>
          <w:b/>
          <w:noProof/>
          <w:color w:val="0000FF"/>
          <w:sz w:val="32"/>
          <w:szCs w:val="32"/>
          <w:lang w:eastAsia="et-EE"/>
        </w:rPr>
        <w:drawing>
          <wp:inline distT="0" distB="0" distL="0" distR="0">
            <wp:extent cx="5976633" cy="293298"/>
            <wp:effectExtent l="0" t="0" r="0" b="0"/>
            <wp:docPr id="8" name="Picture 7" descr="C:\Program Files (x86)\Microsoft Office\MEDIA\OFFICE12\Lines\BD2131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15_.gif"/>
                    <pic:cNvPicPr>
                      <a:picLocks noChangeAspect="1" noChangeArrowheads="1"/>
                    </pic:cNvPicPr>
                  </pic:nvPicPr>
                  <pic:blipFill>
                    <a:blip r:embed="rId4"/>
                    <a:srcRect/>
                    <a:stretch>
                      <a:fillRect/>
                    </a:stretch>
                  </pic:blipFill>
                  <pic:spPr bwMode="auto">
                    <a:xfrm>
                      <a:off x="0" y="0"/>
                      <a:ext cx="5979163" cy="293422"/>
                    </a:xfrm>
                    <a:prstGeom prst="rect">
                      <a:avLst/>
                    </a:prstGeom>
                    <a:noFill/>
                    <a:ln w="9525">
                      <a:noFill/>
                      <a:miter lim="800000"/>
                      <a:headEnd/>
                      <a:tailEnd/>
                    </a:ln>
                  </pic:spPr>
                </pic:pic>
              </a:graphicData>
            </a:graphic>
          </wp:inline>
        </w:drawing>
      </w:r>
    </w:p>
    <w:p w:rsidR="00AE176D" w:rsidRDefault="00AE176D" w:rsidP="00AE176D">
      <w:pPr>
        <w:spacing w:after="0" w:line="240" w:lineRule="auto"/>
        <w:rPr>
          <w:rFonts w:ascii="Times New Roman" w:hAnsi="Times New Roman" w:cs="Times New Roman"/>
          <w:iCs/>
          <w:sz w:val="24"/>
          <w:szCs w:val="24"/>
        </w:rPr>
      </w:pPr>
    </w:p>
    <w:p w:rsidR="00AE176D" w:rsidRDefault="00AE176D" w:rsidP="00AE176D">
      <w:pPr>
        <w:spacing w:after="0" w:line="240" w:lineRule="auto"/>
        <w:rPr>
          <w:rFonts w:ascii="Times New Roman" w:hAnsi="Times New Roman" w:cs="Times New Roman"/>
          <w:iCs/>
          <w:sz w:val="24"/>
          <w:szCs w:val="24"/>
        </w:rPr>
      </w:pPr>
    </w:p>
    <w:p w:rsidR="00AE176D" w:rsidRDefault="00AE176D" w:rsidP="00AE176D">
      <w:pPr>
        <w:spacing w:after="0" w:line="240" w:lineRule="auto"/>
        <w:rPr>
          <w:rFonts w:ascii="Times New Roman" w:hAnsi="Times New Roman" w:cs="Times New Roman"/>
          <w:b/>
          <w:iCs/>
          <w:sz w:val="28"/>
          <w:szCs w:val="28"/>
          <w:u w:val="single"/>
        </w:rPr>
      </w:pPr>
      <w:r w:rsidRPr="00254B30">
        <w:rPr>
          <w:rFonts w:ascii="Times New Roman" w:hAnsi="Times New Roman" w:cs="Times New Roman"/>
          <w:iCs/>
          <w:sz w:val="24"/>
          <w:szCs w:val="24"/>
        </w:rPr>
        <w:t xml:space="preserve">• </w:t>
      </w:r>
      <w:r w:rsidRPr="00254B30">
        <w:rPr>
          <w:rFonts w:ascii="Times New Roman" w:hAnsi="Times New Roman" w:cs="Times New Roman"/>
          <w:b/>
          <w:iCs/>
          <w:sz w:val="28"/>
          <w:szCs w:val="28"/>
          <w:u w:val="single"/>
        </w:rPr>
        <w:t>Perekonnaõigus</w:t>
      </w:r>
    </w:p>
    <w:p w:rsidR="00AE176D" w:rsidRPr="00DD163C" w:rsidRDefault="00AE176D" w:rsidP="00AE176D">
      <w:pPr>
        <w:spacing w:after="0" w:line="240" w:lineRule="auto"/>
        <w:rPr>
          <w:rFonts w:ascii="Times New Roman" w:eastAsia="Times New Roman" w:hAnsi="Times New Roman" w:cs="Times New Roman"/>
          <w:sz w:val="24"/>
          <w:szCs w:val="24"/>
          <w:lang w:eastAsia="et-EE"/>
        </w:rPr>
      </w:pPr>
    </w:p>
    <w:p w:rsidR="00AE176D" w:rsidRPr="00DD163C" w:rsidRDefault="00AE176D" w:rsidP="00AE176D">
      <w:pPr>
        <w:shd w:val="clear" w:color="auto" w:fill="FFFFFF"/>
        <w:spacing w:after="272" w:line="240" w:lineRule="auto"/>
        <w:rPr>
          <w:rFonts w:ascii="Times New Roman" w:eastAsia="Times New Roman" w:hAnsi="Times New Roman" w:cs="Times New Roman"/>
          <w:sz w:val="24"/>
          <w:szCs w:val="24"/>
          <w:lang w:eastAsia="et-EE"/>
        </w:rPr>
      </w:pPr>
      <w:r w:rsidRPr="00DD163C">
        <w:rPr>
          <w:rFonts w:ascii="Times New Roman" w:eastAsia="Times New Roman" w:hAnsi="Times New Roman" w:cs="Times New Roman"/>
          <w:sz w:val="24"/>
          <w:szCs w:val="24"/>
          <w:lang w:eastAsia="et-EE"/>
        </w:rPr>
        <w:t>Perekonnaõiguse reguleerimisalasse jäävad abielust ning</w:t>
      </w:r>
      <w:r w:rsidR="00F1124D">
        <w:rPr>
          <w:rFonts w:ascii="Times New Roman" w:eastAsia="Times New Roman" w:hAnsi="Times New Roman" w:cs="Times New Roman"/>
          <w:sz w:val="24"/>
          <w:szCs w:val="24"/>
          <w:lang w:eastAsia="et-EE"/>
        </w:rPr>
        <w:t xml:space="preserve"> </w:t>
      </w:r>
      <w:r w:rsidRPr="00DD163C">
        <w:rPr>
          <w:rFonts w:ascii="Times New Roman" w:eastAsia="Times New Roman" w:hAnsi="Times New Roman" w:cs="Times New Roman"/>
          <w:sz w:val="24"/>
          <w:szCs w:val="24"/>
          <w:lang w:eastAsia="et-EE"/>
        </w:rPr>
        <w:t>põlvnemisest tulenevad suhted, samuti eestkoste ja hooldus. Perekonnaõiguslikud vaidlused ja küsimused on üldjuhul emotsionaalselt rasked, kiireloomulised ja delikaatsed. Sellest tulenevalt probleemide lahendamine tihti läbirääkimiste teel osapooltel ei õnnestu ning vajalik on asja lahendamine kohtu abil. Nõustame kliente perekonnaõiguslikes küsimustes nii kohtuväliselt kui kohtus.</w:t>
      </w:r>
    </w:p>
    <w:p w:rsidR="00AE176D" w:rsidRPr="00DD163C" w:rsidRDefault="00AE176D" w:rsidP="00AE176D">
      <w:pPr>
        <w:shd w:val="clear" w:color="auto" w:fill="FFFFFF"/>
        <w:spacing w:after="0" w:line="240" w:lineRule="auto"/>
        <w:rPr>
          <w:rFonts w:ascii="Times New Roman" w:eastAsia="Times New Roman" w:hAnsi="Times New Roman" w:cs="Times New Roman"/>
          <w:sz w:val="24"/>
          <w:szCs w:val="24"/>
          <w:lang w:eastAsia="et-EE"/>
        </w:rPr>
      </w:pPr>
      <w:r w:rsidRPr="00DD163C">
        <w:rPr>
          <w:rFonts w:ascii="Times New Roman" w:eastAsia="Times New Roman" w:hAnsi="Times New Roman" w:cs="Times New Roman"/>
          <w:sz w:val="24"/>
          <w:szCs w:val="24"/>
          <w:lang w:eastAsia="et-EE"/>
        </w:rPr>
        <w:t>Näiteks:</w:t>
      </w:r>
    </w:p>
    <w:p w:rsidR="00AE176D" w:rsidRPr="00DD163C" w:rsidRDefault="00AE176D" w:rsidP="00AE176D">
      <w:pPr>
        <w:shd w:val="clear" w:color="auto" w:fill="FFFFFF"/>
        <w:spacing w:after="0" w:line="240" w:lineRule="auto"/>
        <w:rPr>
          <w:rFonts w:ascii="Times New Roman" w:eastAsia="Times New Roman" w:hAnsi="Times New Roman" w:cs="Times New Roman"/>
          <w:sz w:val="24"/>
          <w:szCs w:val="24"/>
          <w:lang w:eastAsia="et-EE"/>
        </w:rPr>
      </w:pPr>
      <w:r w:rsidRPr="00DD163C">
        <w:rPr>
          <w:rFonts w:ascii="Times New Roman" w:eastAsia="Times New Roman" w:hAnsi="Times New Roman" w:cs="Times New Roman"/>
          <w:sz w:val="24"/>
          <w:szCs w:val="24"/>
          <w:lang w:eastAsia="et-EE"/>
        </w:rPr>
        <w:t>–</w:t>
      </w:r>
      <w:r w:rsidR="004D3793">
        <w:rPr>
          <w:rFonts w:ascii="Times New Roman" w:eastAsia="Times New Roman" w:hAnsi="Times New Roman" w:cs="Times New Roman"/>
          <w:sz w:val="24"/>
          <w:szCs w:val="24"/>
          <w:lang w:eastAsia="et-EE"/>
        </w:rPr>
        <w:t xml:space="preserve"> abieluvaralepingute sõlmimisel</w:t>
      </w:r>
    </w:p>
    <w:p w:rsidR="004D3793" w:rsidRDefault="00AE176D" w:rsidP="00AE176D">
      <w:pPr>
        <w:shd w:val="clear" w:color="auto" w:fill="FFFFFF"/>
        <w:spacing w:after="0" w:line="240" w:lineRule="auto"/>
        <w:rPr>
          <w:rFonts w:ascii="Times New Roman" w:eastAsia="Times New Roman" w:hAnsi="Times New Roman" w:cs="Times New Roman"/>
          <w:sz w:val="24"/>
          <w:szCs w:val="24"/>
          <w:lang w:eastAsia="et-EE"/>
        </w:rPr>
      </w:pPr>
      <w:r w:rsidRPr="00DD163C">
        <w:rPr>
          <w:rFonts w:ascii="Times New Roman" w:eastAsia="Times New Roman" w:hAnsi="Times New Roman" w:cs="Times New Roman"/>
          <w:sz w:val="24"/>
          <w:szCs w:val="24"/>
          <w:lang w:eastAsia="et-EE"/>
        </w:rPr>
        <w:t xml:space="preserve">– abielu ja kooselu lõpetamisel ning lahutusjärgse ühisvara jagamisel </w:t>
      </w:r>
    </w:p>
    <w:p w:rsidR="00AE176D" w:rsidRPr="00DD163C" w:rsidRDefault="004D3793" w:rsidP="00AE176D">
      <w:pPr>
        <w:shd w:val="clear" w:color="auto" w:fill="FFFFFF"/>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AE176D" w:rsidRPr="00DD163C">
        <w:rPr>
          <w:rFonts w:ascii="Times New Roman" w:eastAsia="Times New Roman" w:hAnsi="Times New Roman" w:cs="Times New Roman"/>
          <w:sz w:val="24"/>
          <w:szCs w:val="24"/>
          <w:lang w:eastAsia="et-EE"/>
        </w:rPr>
        <w:t>(sh piiriülestes</w:t>
      </w:r>
      <w:r>
        <w:rPr>
          <w:rFonts w:ascii="Times New Roman" w:eastAsia="Times New Roman" w:hAnsi="Times New Roman" w:cs="Times New Roman"/>
          <w:sz w:val="24"/>
          <w:szCs w:val="24"/>
          <w:lang w:eastAsia="et-EE"/>
        </w:rPr>
        <w:t xml:space="preserve"> </w:t>
      </w:r>
      <w:r w:rsidR="00AE176D" w:rsidRPr="00DD163C">
        <w:rPr>
          <w:rFonts w:ascii="Times New Roman" w:eastAsia="Times New Roman" w:hAnsi="Times New Roman" w:cs="Times New Roman"/>
          <w:sz w:val="24"/>
          <w:szCs w:val="24"/>
          <w:lang w:eastAsia="et-EE"/>
        </w:rPr>
        <w:t>abielulahutus</w:t>
      </w:r>
      <w:r>
        <w:rPr>
          <w:rFonts w:ascii="Times New Roman" w:eastAsia="Times New Roman" w:hAnsi="Times New Roman" w:cs="Times New Roman"/>
          <w:sz w:val="24"/>
          <w:szCs w:val="24"/>
          <w:lang w:eastAsia="et-EE"/>
        </w:rPr>
        <w:t>e ja ühisvara jagamise asjades)</w:t>
      </w:r>
    </w:p>
    <w:p w:rsidR="00AE176D" w:rsidRPr="00DD163C" w:rsidRDefault="00AE176D" w:rsidP="00AE176D">
      <w:pPr>
        <w:shd w:val="clear" w:color="auto" w:fill="FFFFFF"/>
        <w:spacing w:after="0" w:line="240" w:lineRule="auto"/>
        <w:rPr>
          <w:rFonts w:ascii="Times New Roman" w:eastAsia="Times New Roman" w:hAnsi="Times New Roman" w:cs="Times New Roman"/>
          <w:sz w:val="24"/>
          <w:szCs w:val="24"/>
          <w:lang w:eastAsia="et-EE"/>
        </w:rPr>
      </w:pPr>
      <w:r w:rsidRPr="00DD163C">
        <w:rPr>
          <w:rFonts w:ascii="Times New Roman" w:eastAsia="Times New Roman" w:hAnsi="Times New Roman" w:cs="Times New Roman"/>
          <w:sz w:val="24"/>
          <w:szCs w:val="24"/>
          <w:lang w:eastAsia="et-EE"/>
        </w:rPr>
        <w:t>– laste hooldusõiguse ja s</w:t>
      </w:r>
      <w:r w:rsidR="004D3793">
        <w:rPr>
          <w:rFonts w:ascii="Times New Roman" w:eastAsia="Times New Roman" w:hAnsi="Times New Roman" w:cs="Times New Roman"/>
          <w:sz w:val="24"/>
          <w:szCs w:val="24"/>
          <w:lang w:eastAsia="et-EE"/>
        </w:rPr>
        <w:t>uhtluskorraga seotud küsimustes</w:t>
      </w:r>
    </w:p>
    <w:p w:rsidR="00AE176D" w:rsidRPr="00DD163C" w:rsidRDefault="00AE176D" w:rsidP="00AE176D">
      <w:pPr>
        <w:shd w:val="clear" w:color="auto" w:fill="FFFFFF"/>
        <w:spacing w:after="0" w:line="240" w:lineRule="auto"/>
        <w:rPr>
          <w:rFonts w:ascii="Times New Roman" w:eastAsia="Times New Roman" w:hAnsi="Times New Roman" w:cs="Times New Roman"/>
          <w:sz w:val="24"/>
          <w:szCs w:val="24"/>
          <w:lang w:eastAsia="et-EE"/>
        </w:rPr>
      </w:pPr>
      <w:r w:rsidRPr="00DD163C">
        <w:rPr>
          <w:rFonts w:ascii="Times New Roman" w:eastAsia="Times New Roman" w:hAnsi="Times New Roman" w:cs="Times New Roman"/>
          <w:sz w:val="24"/>
          <w:szCs w:val="24"/>
          <w:lang w:eastAsia="et-EE"/>
        </w:rPr>
        <w:t>– elatise nõuete esitamisel</w:t>
      </w:r>
      <w:r w:rsidR="004D3793">
        <w:rPr>
          <w:rFonts w:ascii="Times New Roman" w:eastAsia="Times New Roman" w:hAnsi="Times New Roman" w:cs="Times New Roman"/>
          <w:sz w:val="24"/>
          <w:szCs w:val="24"/>
          <w:lang w:eastAsia="et-EE"/>
        </w:rPr>
        <w:t xml:space="preserve"> (sh elatise suurenamise/</w:t>
      </w:r>
      <w:r w:rsidRPr="00DD163C">
        <w:rPr>
          <w:rFonts w:ascii="Times New Roman" w:eastAsia="Times New Roman" w:hAnsi="Times New Roman" w:cs="Times New Roman"/>
          <w:sz w:val="24"/>
          <w:szCs w:val="24"/>
          <w:lang w:eastAsia="et-EE"/>
        </w:rPr>
        <w:t xml:space="preserve">vähendamise ja elatise muutmise </w:t>
      </w:r>
      <w:r w:rsidR="004D3793">
        <w:rPr>
          <w:rFonts w:ascii="Times New Roman" w:eastAsia="Times New Roman" w:hAnsi="Times New Roman" w:cs="Times New Roman"/>
          <w:sz w:val="24"/>
          <w:szCs w:val="24"/>
          <w:lang w:eastAsia="et-EE"/>
        </w:rPr>
        <w:t>asjades)</w:t>
      </w:r>
    </w:p>
    <w:p w:rsidR="00AE176D" w:rsidRPr="00DD163C" w:rsidRDefault="00AE176D" w:rsidP="00AE176D">
      <w:pPr>
        <w:shd w:val="clear" w:color="auto" w:fill="FFFFFF"/>
        <w:spacing w:after="0" w:line="240" w:lineRule="auto"/>
        <w:rPr>
          <w:rFonts w:ascii="Times New Roman" w:eastAsia="Times New Roman" w:hAnsi="Times New Roman" w:cs="Times New Roman"/>
          <w:sz w:val="24"/>
          <w:szCs w:val="24"/>
          <w:lang w:eastAsia="et-EE"/>
        </w:rPr>
      </w:pPr>
      <w:r w:rsidRPr="00DD163C">
        <w:rPr>
          <w:rFonts w:ascii="Times New Roman" w:eastAsia="Times New Roman" w:hAnsi="Times New Roman" w:cs="Times New Roman"/>
          <w:sz w:val="24"/>
          <w:szCs w:val="24"/>
          <w:lang w:eastAsia="et-EE"/>
        </w:rPr>
        <w:t>– elatisega seotud kohtu</w:t>
      </w:r>
      <w:r w:rsidR="004D3793">
        <w:rPr>
          <w:rFonts w:ascii="Times New Roman" w:eastAsia="Times New Roman" w:hAnsi="Times New Roman" w:cs="Times New Roman"/>
          <w:sz w:val="24"/>
          <w:szCs w:val="24"/>
          <w:lang w:eastAsia="et-EE"/>
        </w:rPr>
        <w:t>väliste kokkulepete koostamisel</w:t>
      </w:r>
    </w:p>
    <w:p w:rsidR="00AE176D" w:rsidRDefault="00AE176D" w:rsidP="00AE176D">
      <w:pPr>
        <w:shd w:val="clear" w:color="auto" w:fill="FFFFFF"/>
        <w:spacing w:after="0" w:line="240" w:lineRule="auto"/>
        <w:rPr>
          <w:rFonts w:ascii="Times New Roman" w:eastAsia="Times New Roman" w:hAnsi="Times New Roman" w:cs="Times New Roman"/>
          <w:sz w:val="24"/>
          <w:szCs w:val="24"/>
          <w:lang w:eastAsia="et-EE"/>
        </w:rPr>
      </w:pPr>
      <w:r w:rsidRPr="00DD163C">
        <w:rPr>
          <w:rFonts w:ascii="Times New Roman" w:eastAsia="Times New Roman" w:hAnsi="Times New Roman" w:cs="Times New Roman"/>
          <w:sz w:val="24"/>
          <w:szCs w:val="24"/>
          <w:lang w:eastAsia="et-EE"/>
        </w:rPr>
        <w:t>– laste isiku- ja varahooldus</w:t>
      </w:r>
    </w:p>
    <w:p w:rsidR="00AE176D" w:rsidRPr="004D3793" w:rsidRDefault="00AE176D" w:rsidP="00AE176D">
      <w:pPr>
        <w:shd w:val="clear" w:color="auto" w:fill="FFFFFF"/>
        <w:spacing w:after="0" w:line="240" w:lineRule="auto"/>
        <w:rPr>
          <w:rFonts w:ascii="Times New Roman" w:eastAsia="Times New Roman" w:hAnsi="Times New Roman" w:cs="Times New Roman"/>
          <w:sz w:val="16"/>
          <w:szCs w:val="16"/>
          <w:lang w:eastAsia="et-EE"/>
        </w:rPr>
      </w:pPr>
    </w:p>
    <w:p w:rsidR="00AE176D" w:rsidRPr="00DD163C" w:rsidRDefault="00AE176D" w:rsidP="00AE176D">
      <w:pPr>
        <w:shd w:val="clear" w:color="auto" w:fill="FFFFFF"/>
        <w:spacing w:after="0" w:line="240" w:lineRule="auto"/>
        <w:rPr>
          <w:rFonts w:ascii="Times New Roman" w:eastAsia="Times New Roman" w:hAnsi="Times New Roman" w:cs="Times New Roman"/>
          <w:sz w:val="16"/>
          <w:szCs w:val="16"/>
          <w:lang w:eastAsia="et-EE"/>
        </w:rPr>
      </w:pPr>
    </w:p>
    <w:p w:rsidR="00AE176D" w:rsidRPr="00DD163C" w:rsidRDefault="00AE176D" w:rsidP="00AE176D">
      <w:pPr>
        <w:spacing w:line="240" w:lineRule="auto"/>
        <w:rPr>
          <w:rFonts w:ascii="Open Sans" w:eastAsia="Times New Roman" w:hAnsi="Open Sans" w:cs="Times New Roman"/>
          <w:color w:val="777777"/>
          <w:sz w:val="19"/>
          <w:szCs w:val="19"/>
          <w:lang w:eastAsia="et-EE"/>
        </w:rPr>
      </w:pPr>
      <w:r w:rsidRPr="00426798">
        <w:rPr>
          <w:iCs/>
        </w:rPr>
        <w:t>•</w:t>
      </w:r>
      <w:r>
        <w:rPr>
          <w:iCs/>
        </w:rPr>
        <w:t xml:space="preserve"> </w:t>
      </w:r>
      <w:r w:rsidRPr="00254B30">
        <w:rPr>
          <w:rFonts w:ascii="Times New Roman" w:hAnsi="Times New Roman" w:cs="Times New Roman"/>
          <w:b/>
          <w:iCs/>
          <w:sz w:val="28"/>
          <w:szCs w:val="28"/>
          <w:u w:val="single"/>
        </w:rPr>
        <w:t>Pärimisõigus</w:t>
      </w:r>
    </w:p>
    <w:p w:rsidR="004D3793" w:rsidRDefault="00AE176D" w:rsidP="00AE176D">
      <w:pPr>
        <w:pStyle w:val="NormalWeb"/>
        <w:shd w:val="clear" w:color="auto" w:fill="FFFFFF"/>
        <w:spacing w:before="0" w:beforeAutospacing="0" w:after="0" w:afterAutospacing="0"/>
      </w:pPr>
      <w:r>
        <w:t>Juriidiline abi</w:t>
      </w:r>
      <w:r w:rsidRPr="00254B30">
        <w:t xml:space="preserve"> pärimisega seotud vaidlustes. </w:t>
      </w:r>
    </w:p>
    <w:p w:rsidR="00AE176D" w:rsidRDefault="004D3793" w:rsidP="00AE176D">
      <w:pPr>
        <w:pStyle w:val="NormalWeb"/>
        <w:shd w:val="clear" w:color="auto" w:fill="FFFFFF"/>
        <w:spacing w:before="0" w:beforeAutospacing="0" w:after="0" w:afterAutospacing="0"/>
      </w:pPr>
      <w:r w:rsidRPr="00254B30">
        <w:t>Samuti anname nõu muud</w:t>
      </w:r>
      <w:r>
        <w:t>es pärimisega seotud küsimustes.</w:t>
      </w:r>
    </w:p>
    <w:p w:rsidR="00AE176D" w:rsidRDefault="00AE176D" w:rsidP="00AE176D">
      <w:pPr>
        <w:pStyle w:val="NormalWeb"/>
        <w:shd w:val="clear" w:color="auto" w:fill="FFFFFF"/>
        <w:spacing w:before="0" w:beforeAutospacing="0" w:after="0" w:afterAutospacing="0"/>
      </w:pPr>
    </w:p>
    <w:p w:rsidR="004D3793" w:rsidRPr="00254B30" w:rsidRDefault="00AE176D" w:rsidP="00AE176D">
      <w:pPr>
        <w:pStyle w:val="NormalWeb"/>
        <w:shd w:val="clear" w:color="auto" w:fill="FFFFFF"/>
        <w:spacing w:before="0" w:beforeAutospacing="0" w:after="0" w:afterAutospacing="0"/>
      </w:pPr>
      <w:r w:rsidRPr="00254B30">
        <w:t>Näiteks:</w:t>
      </w:r>
      <w:r w:rsidRPr="00254B30">
        <w:br/>
        <w:t>– aitame vaidlustada testamenti ja pärimislepingut</w:t>
      </w:r>
      <w:r w:rsidRPr="00254B30">
        <w:br/>
        <w:t>– esindame annakute ja annakutega seotud hüvitisenõuetega seotud vaidlustes</w:t>
      </w:r>
      <w:r w:rsidRPr="00254B30">
        <w:br/>
        <w:t>– aitame pärijate vahel jagada pärandvara.</w:t>
      </w:r>
    </w:p>
    <w:p w:rsidR="00AE176D" w:rsidRPr="004D3793" w:rsidRDefault="00AE176D" w:rsidP="00AE176D">
      <w:pPr>
        <w:spacing w:after="0"/>
        <w:rPr>
          <w:iCs/>
          <w:sz w:val="16"/>
          <w:szCs w:val="16"/>
        </w:rPr>
      </w:pPr>
    </w:p>
    <w:p w:rsidR="00AE176D" w:rsidRPr="004D3793" w:rsidRDefault="00AE176D" w:rsidP="00AE176D">
      <w:pPr>
        <w:spacing w:after="0"/>
        <w:rPr>
          <w:iCs/>
          <w:sz w:val="16"/>
          <w:szCs w:val="16"/>
        </w:rPr>
      </w:pPr>
    </w:p>
    <w:p w:rsidR="00AE176D" w:rsidRDefault="00AE176D" w:rsidP="00AE176D">
      <w:pPr>
        <w:pStyle w:val="NormalWeb"/>
        <w:shd w:val="clear" w:color="auto" w:fill="FFFFFF"/>
        <w:spacing w:before="0" w:beforeAutospacing="0" w:after="272" w:afterAutospacing="0"/>
        <w:jc w:val="both"/>
        <w:rPr>
          <w:iCs/>
        </w:rPr>
      </w:pPr>
      <w:r w:rsidRPr="00426798">
        <w:rPr>
          <w:iCs/>
        </w:rPr>
        <w:t>•</w:t>
      </w:r>
      <w:r>
        <w:rPr>
          <w:iCs/>
        </w:rPr>
        <w:t xml:space="preserve"> </w:t>
      </w:r>
      <w:r w:rsidRPr="00254B30">
        <w:rPr>
          <w:b/>
          <w:iCs/>
          <w:sz w:val="28"/>
          <w:szCs w:val="28"/>
          <w:u w:val="single"/>
        </w:rPr>
        <w:t>Asjaõigus</w:t>
      </w:r>
    </w:p>
    <w:p w:rsidR="004D3793" w:rsidRDefault="00AE176D" w:rsidP="004D3793">
      <w:pPr>
        <w:pStyle w:val="NormalWeb"/>
        <w:shd w:val="clear" w:color="auto" w:fill="FFFFFF"/>
        <w:spacing w:before="0" w:beforeAutospacing="0" w:after="0" w:afterAutospacing="0"/>
      </w:pPr>
      <w:r w:rsidRPr="00254B30">
        <w:t>Pakume õigusabi ja abistame kliente kõigis asjaõigustega seotud küsimustes ja valdkondades. Asjaõigus puudutab eelkõige kodu- ja maaomanikke, kuna asjaõ</w:t>
      </w:r>
      <w:r w:rsidR="004D3793">
        <w:t xml:space="preserve">igus reguleerib </w:t>
      </w:r>
      <w:r w:rsidRPr="00254B30">
        <w:t>omandiõigusega seonduvat. Kuid asjaõigusega on reguleeritud ka näiteks vallasasjad ja pandiõigused.</w:t>
      </w:r>
    </w:p>
    <w:p w:rsidR="00AE176D" w:rsidRPr="00254B30" w:rsidRDefault="004D3793" w:rsidP="00AE176D">
      <w:pPr>
        <w:pStyle w:val="NormalWeb"/>
        <w:shd w:val="clear" w:color="auto" w:fill="FFFFFF"/>
        <w:spacing w:before="0" w:beforeAutospacing="0" w:after="272" w:afterAutospacing="0"/>
      </w:pPr>
      <w:r>
        <w:t>N</w:t>
      </w:r>
      <w:r w:rsidR="00AE176D" w:rsidRPr="00254B30">
        <w:t>õustame kliente asjaõigusega seotud küsimustes, aitame Teil koostada vajalikke dokumente, teha vajalikke toiminguid ning esindame Teid asjaajamistel isikute, ametiasutuste ja organisatsioonidega muuhulgas järgnevates asjaõiguse valdkondades:</w:t>
      </w:r>
    </w:p>
    <w:p w:rsidR="00AE176D" w:rsidRPr="00254B30" w:rsidRDefault="00AE176D" w:rsidP="00AE176D">
      <w:pPr>
        <w:pStyle w:val="NormalWeb"/>
        <w:shd w:val="clear" w:color="auto" w:fill="FFFFFF"/>
        <w:spacing w:before="0" w:beforeAutospacing="0" w:after="0" w:afterAutospacing="0"/>
      </w:pPr>
      <w:r w:rsidRPr="00254B30">
        <w:t>– kinnisasjade omandamine ja võõrandamine</w:t>
      </w:r>
      <w:r w:rsidRPr="00254B30">
        <w:br/>
        <w:t>– valdusega seotud vaidlused</w:t>
      </w:r>
      <w:r w:rsidRPr="00254B30">
        <w:br/>
        <w:t>– kinnistusraamat ja kinnistusraamatu kanded</w:t>
      </w:r>
      <w:r w:rsidRPr="00254B30">
        <w:br/>
        <w:t>– kaasomandi lõpetamine</w:t>
      </w:r>
      <w:r w:rsidRPr="00254B30">
        <w:br/>
        <w:t>– kaasomanike vaheliste kokkulepete sõlmine</w:t>
      </w:r>
      <w:r w:rsidRPr="00254B30">
        <w:br/>
        <w:t>– korteriomanike vahelised küsimused</w:t>
      </w:r>
      <w:r w:rsidRPr="00254B30">
        <w:br/>
        <w:t>– naabrusõigused</w:t>
      </w:r>
      <w:r w:rsidRPr="00254B30">
        <w:br/>
        <w:t>– teed, tehnovõrgud ja -rajatised, veekogud ja metsad</w:t>
      </w:r>
      <w:r w:rsidRPr="00254B30">
        <w:br/>
        <w:t>– hüpoteekide ja vallaspantidega seotud küsimused</w:t>
      </w:r>
      <w:r w:rsidRPr="00254B30">
        <w:br/>
      </w:r>
      <w:r w:rsidRPr="00254B30">
        <w:lastRenderedPageBreak/>
        <w:t>– registerpandid ja õiguste pantimine</w:t>
      </w:r>
      <w:r w:rsidRPr="00254B30">
        <w:br/>
        <w:t>– servituutide ja reaalkoormatistega seotud küsimused</w:t>
      </w:r>
      <w:r w:rsidRPr="00254B30">
        <w:br/>
        <w:t>– hoonestusõiguse seadmine</w:t>
      </w:r>
      <w:r w:rsidRPr="00254B30">
        <w:br/>
        <w:t>– ostueesõigus</w:t>
      </w:r>
      <w:r w:rsidRPr="00254B30">
        <w:br/>
        <w:t>– asja</w:t>
      </w:r>
      <w:r w:rsidR="004D3793">
        <w:t>õiguslike vaidluste lahendamine</w:t>
      </w:r>
    </w:p>
    <w:p w:rsidR="00AE176D" w:rsidRPr="004D3793" w:rsidRDefault="00AE176D" w:rsidP="00AE176D">
      <w:pPr>
        <w:spacing w:after="0"/>
        <w:rPr>
          <w:sz w:val="16"/>
          <w:szCs w:val="16"/>
        </w:rPr>
      </w:pPr>
    </w:p>
    <w:p w:rsidR="00AE176D" w:rsidRPr="004D3793" w:rsidRDefault="00AE176D" w:rsidP="00AE176D">
      <w:pPr>
        <w:spacing w:after="0"/>
        <w:rPr>
          <w:sz w:val="16"/>
          <w:szCs w:val="16"/>
        </w:rPr>
      </w:pPr>
    </w:p>
    <w:p w:rsidR="00AE176D" w:rsidRDefault="00AE176D" w:rsidP="00AE176D">
      <w:pPr>
        <w:pStyle w:val="NormalWeb"/>
        <w:shd w:val="clear" w:color="auto" w:fill="FFFFFF"/>
        <w:spacing w:before="0" w:beforeAutospacing="0" w:after="272" w:afterAutospacing="0"/>
        <w:jc w:val="both"/>
        <w:rPr>
          <w:iCs/>
        </w:rPr>
      </w:pPr>
      <w:r w:rsidRPr="00426798">
        <w:rPr>
          <w:iCs/>
        </w:rPr>
        <w:t>•</w:t>
      </w:r>
      <w:r>
        <w:rPr>
          <w:iCs/>
        </w:rPr>
        <w:t xml:space="preserve"> </w:t>
      </w:r>
      <w:r w:rsidRPr="00254B30">
        <w:rPr>
          <w:b/>
          <w:iCs/>
          <w:sz w:val="28"/>
          <w:szCs w:val="28"/>
          <w:u w:val="single"/>
        </w:rPr>
        <w:t>Lepingu- ja võlaõigus</w:t>
      </w:r>
    </w:p>
    <w:p w:rsidR="00AE176D" w:rsidRPr="00254B30" w:rsidRDefault="00AE176D" w:rsidP="00AE176D">
      <w:pPr>
        <w:pStyle w:val="NormalWeb"/>
        <w:shd w:val="clear" w:color="auto" w:fill="FFFFFF"/>
        <w:spacing w:before="0" w:beforeAutospacing="0" w:after="0" w:afterAutospacing="0"/>
      </w:pPr>
      <w:r w:rsidRPr="00254B30">
        <w:rPr>
          <w:rStyle w:val="Strong"/>
        </w:rPr>
        <w:t>Lepinguõigus</w:t>
      </w:r>
    </w:p>
    <w:p w:rsidR="00AE176D" w:rsidRDefault="00AE176D" w:rsidP="00AE176D">
      <w:pPr>
        <w:pStyle w:val="NormalWeb"/>
        <w:shd w:val="clear" w:color="auto" w:fill="FFFFFF"/>
        <w:spacing w:before="0" w:beforeAutospacing="0" w:after="0" w:afterAutospacing="0"/>
      </w:pPr>
      <w:r w:rsidRPr="00254B30">
        <w:t xml:space="preserve">Nõustame kliente lepinguid puudutavates küsimustes. </w:t>
      </w:r>
    </w:p>
    <w:p w:rsidR="00AE176D" w:rsidRDefault="004D3793" w:rsidP="00AE176D">
      <w:pPr>
        <w:pStyle w:val="NormalWeb"/>
        <w:shd w:val="clear" w:color="auto" w:fill="FFFFFF"/>
        <w:spacing w:before="0" w:beforeAutospacing="0" w:after="0" w:afterAutospacing="0"/>
      </w:pPr>
      <w:r>
        <w:t>N</w:t>
      </w:r>
      <w:r w:rsidR="00AE176D" w:rsidRPr="00254B30">
        <w:t xml:space="preserve">õustame kliente lepingueelsete läbirääkimiste pidamisel, lepingute koostamisel ning sõlmimisel ja ka lepingu täitmist ning rikkumist puudutavates küsimustes. </w:t>
      </w:r>
    </w:p>
    <w:p w:rsidR="00AE176D" w:rsidRDefault="00AE176D" w:rsidP="00AE176D">
      <w:pPr>
        <w:pStyle w:val="NormalWeb"/>
        <w:shd w:val="clear" w:color="auto" w:fill="FFFFFF"/>
        <w:spacing w:before="0" w:beforeAutospacing="0" w:after="0" w:afterAutospacing="0"/>
      </w:pPr>
      <w:r w:rsidRPr="00254B30">
        <w:t>Koostame ka lepingute õiguslikke analüüse, eesmärgiga kaardistada peamiseid riske ning neid maandada.</w:t>
      </w:r>
      <w:r w:rsidR="00F1124D">
        <w:t xml:space="preserve"> </w:t>
      </w:r>
      <w:r w:rsidRPr="00254B30">
        <w:t>Lisaks nõustame kliente lepingust tulenvate nõuete osas ning aitame kliendil oma nõuded maksma panna.</w:t>
      </w:r>
      <w:r w:rsidR="00F1124D">
        <w:t xml:space="preserve"> </w:t>
      </w:r>
      <w:r w:rsidRPr="00254B30">
        <w:t>Esindame kliente lepingutest tulenevates vaidlustes nii kohtuväliselt kui kohtumenetluses.</w:t>
      </w:r>
    </w:p>
    <w:p w:rsidR="004D3793" w:rsidRPr="00254B30" w:rsidRDefault="004D3793" w:rsidP="00AE176D">
      <w:pPr>
        <w:pStyle w:val="NormalWeb"/>
        <w:shd w:val="clear" w:color="auto" w:fill="FFFFFF"/>
        <w:spacing w:before="0" w:beforeAutospacing="0" w:after="0" w:afterAutospacing="0"/>
      </w:pPr>
    </w:p>
    <w:p w:rsidR="00AE176D" w:rsidRPr="00254B30" w:rsidRDefault="00AE176D" w:rsidP="00AE176D">
      <w:pPr>
        <w:pStyle w:val="NormalWeb"/>
        <w:shd w:val="clear" w:color="auto" w:fill="FFFFFF"/>
        <w:spacing w:before="0" w:beforeAutospacing="0" w:after="0" w:afterAutospacing="0"/>
      </w:pPr>
      <w:r w:rsidRPr="00254B30">
        <w:rPr>
          <w:rStyle w:val="Strong"/>
        </w:rPr>
        <w:t>Lepinguvälised võlasuhted</w:t>
      </w:r>
    </w:p>
    <w:p w:rsidR="00AE176D" w:rsidRDefault="00AE176D" w:rsidP="00AE176D">
      <w:pPr>
        <w:pStyle w:val="NormalWeb"/>
        <w:shd w:val="clear" w:color="auto" w:fill="FFFFFF"/>
        <w:spacing w:before="0" w:beforeAutospacing="0" w:after="0" w:afterAutospacing="0"/>
      </w:pPr>
      <w:r w:rsidRPr="00254B30">
        <w:t xml:space="preserve">Nõustame kliente lepinguväliseid võlasuhteid puudutavates küsimustes. </w:t>
      </w:r>
    </w:p>
    <w:p w:rsidR="00AE176D" w:rsidRPr="00254B30" w:rsidRDefault="00AE176D" w:rsidP="00AE176D">
      <w:pPr>
        <w:pStyle w:val="NormalWeb"/>
        <w:shd w:val="clear" w:color="auto" w:fill="FFFFFF"/>
        <w:spacing w:before="0" w:beforeAutospacing="0" w:after="0" w:afterAutospacing="0"/>
      </w:pPr>
      <w:r w:rsidRPr="00254B30">
        <w:t>Muuhulgas nõustame kliente nii alusetu rikastumise, käsundita asjaajamise kui ka õigusvastase kahju tekitamise olukordade osas</w:t>
      </w:r>
      <w:r w:rsidR="00F1124D">
        <w:t xml:space="preserve">. </w:t>
      </w:r>
      <w:r w:rsidRPr="00254B30">
        <w:t>Esindame kliente lepinguvälistest võlasuhetest tulenevates vaidlustes nii kohtuväliselt kui kohtumenetluses.</w:t>
      </w:r>
    </w:p>
    <w:p w:rsidR="00AE176D" w:rsidRPr="004D3793" w:rsidRDefault="00AE176D" w:rsidP="00AE176D">
      <w:pPr>
        <w:spacing w:after="0"/>
        <w:rPr>
          <w:rFonts w:ascii="Times New Roman" w:hAnsi="Times New Roman" w:cs="Times New Roman"/>
          <w:sz w:val="16"/>
          <w:szCs w:val="16"/>
        </w:rPr>
      </w:pPr>
    </w:p>
    <w:p w:rsidR="00AE176D" w:rsidRPr="004D3793" w:rsidRDefault="00AE176D" w:rsidP="00AE176D">
      <w:pPr>
        <w:spacing w:after="0"/>
        <w:rPr>
          <w:rFonts w:ascii="Times New Roman" w:hAnsi="Times New Roman" w:cs="Times New Roman"/>
          <w:sz w:val="16"/>
          <w:szCs w:val="16"/>
        </w:rPr>
      </w:pPr>
    </w:p>
    <w:p w:rsidR="00AE176D" w:rsidRPr="00DD163C" w:rsidRDefault="00AE176D" w:rsidP="00AE176D">
      <w:pPr>
        <w:pStyle w:val="NormalWeb"/>
        <w:shd w:val="clear" w:color="auto" w:fill="FFFFFF"/>
        <w:spacing w:before="0" w:beforeAutospacing="0" w:after="272" w:afterAutospacing="0"/>
        <w:jc w:val="both"/>
        <w:rPr>
          <w:iCs/>
        </w:rPr>
      </w:pPr>
      <w:r w:rsidRPr="00426798">
        <w:rPr>
          <w:iCs/>
        </w:rPr>
        <w:t>•</w:t>
      </w:r>
      <w:r>
        <w:rPr>
          <w:iCs/>
        </w:rPr>
        <w:t xml:space="preserve"> </w:t>
      </w:r>
      <w:r w:rsidRPr="00254B30">
        <w:rPr>
          <w:b/>
          <w:iCs/>
          <w:sz w:val="28"/>
          <w:szCs w:val="28"/>
          <w:u w:val="single"/>
        </w:rPr>
        <w:t>Kindlustusõigus</w:t>
      </w:r>
    </w:p>
    <w:p w:rsidR="004D3793" w:rsidRDefault="00AE176D" w:rsidP="00AE176D">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Abi k</w:t>
      </w:r>
      <w:r w:rsidRPr="00254B30">
        <w:rPr>
          <w:rFonts w:ascii="Times New Roman" w:hAnsi="Times New Roman" w:cs="Times New Roman"/>
          <w:sz w:val="24"/>
          <w:szCs w:val="24"/>
          <w:shd w:val="clear" w:color="auto" w:fill="FFFFFF"/>
        </w:rPr>
        <w:t>indlustuse</w:t>
      </w:r>
      <w:r>
        <w:rPr>
          <w:rFonts w:ascii="Times New Roman" w:hAnsi="Times New Roman" w:cs="Times New Roman"/>
          <w:sz w:val="24"/>
          <w:szCs w:val="24"/>
          <w:shd w:val="clear" w:color="auto" w:fill="FFFFFF"/>
        </w:rPr>
        <w:t>ga seotud vaidluste lahendamisel</w:t>
      </w:r>
      <w:r w:rsidRPr="00254B30">
        <w:rPr>
          <w:rFonts w:ascii="Times New Roman" w:hAnsi="Times New Roman" w:cs="Times New Roman"/>
          <w:sz w:val="24"/>
          <w:szCs w:val="24"/>
          <w:shd w:val="clear" w:color="auto" w:fill="FFFFFF"/>
        </w:rPr>
        <w:t xml:space="preserve">, sh kahjuhüvituse suuruse, </w:t>
      </w:r>
    </w:p>
    <w:p w:rsidR="00AE176D" w:rsidRDefault="00AE176D" w:rsidP="00AE176D">
      <w:pPr>
        <w:spacing w:after="0"/>
        <w:rPr>
          <w:rFonts w:ascii="Times New Roman" w:hAnsi="Times New Roman" w:cs="Times New Roman"/>
          <w:sz w:val="24"/>
          <w:szCs w:val="24"/>
          <w:shd w:val="clear" w:color="auto" w:fill="FFFFFF"/>
        </w:rPr>
      </w:pPr>
      <w:r w:rsidRPr="00254B30">
        <w:rPr>
          <w:rFonts w:ascii="Times New Roman" w:hAnsi="Times New Roman" w:cs="Times New Roman"/>
          <w:sz w:val="24"/>
          <w:szCs w:val="24"/>
          <w:shd w:val="clear" w:color="auto" w:fill="FFFFFF"/>
        </w:rPr>
        <w:t xml:space="preserve">kannatanu vastutuse ning kahju tekitajaga seotud küsimustes. </w:t>
      </w:r>
    </w:p>
    <w:p w:rsidR="00AE176D" w:rsidRPr="00254B30" w:rsidRDefault="00AE176D" w:rsidP="00AE176D">
      <w:pPr>
        <w:spacing w:after="0"/>
        <w:rPr>
          <w:rFonts w:ascii="Times New Roman" w:hAnsi="Times New Roman" w:cs="Times New Roman"/>
          <w:sz w:val="24"/>
          <w:szCs w:val="24"/>
        </w:rPr>
      </w:pPr>
      <w:r w:rsidRPr="00254B30">
        <w:rPr>
          <w:rFonts w:ascii="Times New Roman" w:hAnsi="Times New Roman" w:cs="Times New Roman"/>
          <w:sz w:val="24"/>
          <w:szCs w:val="24"/>
          <w:shd w:val="clear" w:color="auto" w:fill="FFFFFF"/>
        </w:rPr>
        <w:t>Ühtlasi anname nõu kindlustuslepingute sõlmimisel</w:t>
      </w:r>
      <w:r w:rsidRPr="00254B30">
        <w:rPr>
          <w:rFonts w:ascii="Times New Roman" w:hAnsi="Times New Roman" w:cs="Times New Roman"/>
          <w:color w:val="777777"/>
          <w:sz w:val="24"/>
          <w:szCs w:val="24"/>
          <w:shd w:val="clear" w:color="auto" w:fill="FFFFFF"/>
        </w:rPr>
        <w:t>.</w:t>
      </w:r>
    </w:p>
    <w:p w:rsidR="00AE176D" w:rsidRPr="004D3793" w:rsidRDefault="00AE176D" w:rsidP="00AE176D">
      <w:pPr>
        <w:spacing w:after="0"/>
        <w:rPr>
          <w:rFonts w:ascii="Times New Roman" w:hAnsi="Times New Roman" w:cs="Times New Roman"/>
          <w:sz w:val="16"/>
          <w:szCs w:val="16"/>
        </w:rPr>
      </w:pPr>
    </w:p>
    <w:p w:rsidR="00AE176D" w:rsidRPr="004D3793" w:rsidRDefault="00AE176D" w:rsidP="00AE176D">
      <w:pPr>
        <w:spacing w:after="0"/>
        <w:rPr>
          <w:rFonts w:ascii="Times New Roman" w:hAnsi="Times New Roman" w:cs="Times New Roman"/>
          <w:sz w:val="16"/>
          <w:szCs w:val="16"/>
        </w:rPr>
      </w:pPr>
    </w:p>
    <w:p w:rsidR="00AE176D" w:rsidRPr="004D3793" w:rsidRDefault="00AE176D" w:rsidP="004D3793">
      <w:pPr>
        <w:spacing w:line="240" w:lineRule="auto"/>
        <w:rPr>
          <w:rFonts w:ascii="Open Sans" w:eastAsia="Times New Roman" w:hAnsi="Open Sans" w:cs="Times New Roman"/>
          <w:color w:val="777777"/>
          <w:sz w:val="19"/>
          <w:szCs w:val="19"/>
          <w:lang w:eastAsia="et-EE"/>
        </w:rPr>
      </w:pPr>
      <w:r w:rsidRPr="00426798">
        <w:rPr>
          <w:iCs/>
        </w:rPr>
        <w:t>•</w:t>
      </w:r>
      <w:r>
        <w:rPr>
          <w:iCs/>
        </w:rPr>
        <w:t xml:space="preserve"> </w:t>
      </w:r>
      <w:r w:rsidRPr="00791C08">
        <w:rPr>
          <w:rFonts w:ascii="Times New Roman" w:hAnsi="Times New Roman" w:cs="Times New Roman"/>
          <w:b/>
          <w:iCs/>
          <w:sz w:val="28"/>
          <w:szCs w:val="28"/>
          <w:u w:val="single"/>
        </w:rPr>
        <w:t>Tööõigus</w:t>
      </w:r>
    </w:p>
    <w:p w:rsidR="00AE176D" w:rsidRDefault="00AE176D" w:rsidP="00AE176D">
      <w:pPr>
        <w:pStyle w:val="NormalWeb"/>
        <w:shd w:val="clear" w:color="auto" w:fill="FFFFFF"/>
        <w:spacing w:before="0" w:beforeAutospacing="0" w:after="0" w:afterAutospacing="0"/>
      </w:pPr>
      <w:r w:rsidRPr="00254B30">
        <w:t xml:space="preserve">Iga tööandja ja töötaja on kohustatud järgima tööõigust puudutavaid reegleid. </w:t>
      </w:r>
    </w:p>
    <w:p w:rsidR="00AE176D" w:rsidRDefault="00AE176D" w:rsidP="00AE176D">
      <w:pPr>
        <w:pStyle w:val="NormalWeb"/>
        <w:shd w:val="clear" w:color="auto" w:fill="FFFFFF"/>
        <w:spacing w:before="0" w:beforeAutospacing="0" w:after="0" w:afterAutospacing="0"/>
      </w:pPr>
      <w:r w:rsidRPr="00254B30">
        <w:t xml:space="preserve">Esindame ja nõustame kliente tööõigusega seotus küsimustes. </w:t>
      </w:r>
    </w:p>
    <w:p w:rsidR="00AE176D" w:rsidRDefault="00AE176D" w:rsidP="00AE176D">
      <w:pPr>
        <w:pStyle w:val="NormalWeb"/>
        <w:shd w:val="clear" w:color="auto" w:fill="FFFFFF"/>
        <w:spacing w:before="0" w:beforeAutospacing="0" w:after="0" w:afterAutospacing="0"/>
      </w:pPr>
    </w:p>
    <w:p w:rsidR="00AE176D" w:rsidRDefault="00AE176D" w:rsidP="00AE176D">
      <w:pPr>
        <w:pStyle w:val="NormalWeb"/>
        <w:shd w:val="clear" w:color="auto" w:fill="FFFFFF"/>
        <w:spacing w:before="0" w:beforeAutospacing="0" w:after="0" w:afterAutospacing="0"/>
      </w:pPr>
      <w:r w:rsidRPr="00254B30">
        <w:t>Näiteks:</w:t>
      </w:r>
      <w:r w:rsidRPr="00254B30">
        <w:br/>
        <w:t>– töölepingute koostamisel ja sõlmimisel</w:t>
      </w:r>
      <w:r w:rsidRPr="00254B30">
        <w:br/>
        <w:t>– töövaidlustes (kohtus ja töövaidluskomisjonis)</w:t>
      </w:r>
      <w:r w:rsidRPr="00254B30">
        <w:br/>
        <w:t>– töötaja vastutusega seotud küsimustes</w:t>
      </w:r>
      <w:r w:rsidRPr="00254B30">
        <w:br/>
        <w:t>– ettevõtte sisekorraeeskirjade ja muude siseregulatsioonide koostamisel</w:t>
      </w:r>
      <w:r w:rsidRPr="00254B30">
        <w:br/>
        <w:t>– kollektiivlepingute sõlmimisel</w:t>
      </w:r>
      <w:r w:rsidRPr="00254B30">
        <w:br/>
        <w:t>– töölepingute individuaalne ja kollektiivne ülesütlemine</w:t>
      </w:r>
      <w:r w:rsidRPr="00254B30">
        <w:br/>
        <w:t>– töö- ja elamislubade taotlemine</w:t>
      </w:r>
      <w:r w:rsidRPr="00254B30">
        <w:br/>
        <w:t>– renditööjõuga seotud küsimustes</w:t>
      </w:r>
      <w:r w:rsidRPr="00254B30">
        <w:br/>
        <w:t>– läbirääkimistel ametiühingutega</w:t>
      </w:r>
      <w:r w:rsidRPr="00254B30">
        <w:br/>
        <w:t>– ühinemis- ja omandamistehingute ning restruktureerimiste juures</w:t>
      </w:r>
      <w:r w:rsidRPr="00254B30">
        <w:br/>
        <w:t>– ärisaladuse ja intellektuaalomandi ka</w:t>
      </w:r>
      <w:r w:rsidR="004D3793">
        <w:t>itsmisel</w:t>
      </w:r>
    </w:p>
    <w:p w:rsidR="00F1124D" w:rsidRDefault="00F1124D" w:rsidP="00AE176D">
      <w:pPr>
        <w:pStyle w:val="NormalWeb"/>
        <w:shd w:val="clear" w:color="auto" w:fill="FFFFFF"/>
        <w:spacing w:before="0" w:beforeAutospacing="0" w:after="0" w:afterAutospacing="0"/>
      </w:pPr>
    </w:p>
    <w:p w:rsidR="00D95A20" w:rsidRDefault="00AE176D" w:rsidP="004D3793">
      <w:pPr>
        <w:pStyle w:val="NormalWeb"/>
        <w:shd w:val="clear" w:color="auto" w:fill="FFFFFF"/>
        <w:spacing w:before="0" w:beforeAutospacing="0" w:after="0" w:afterAutospacing="0"/>
      </w:pPr>
      <w:r w:rsidRPr="00254B30">
        <w:t>Kuivõrd tööohutus on samuti tööõiguse valdkonnaga lahutamatult seotud, osutame konsultatsioone ka töötervishoiu ja –ohutuse valdkonnas. Nõustame kliente töökorralduslike reeglite, tööalaste tagatiste, töötervishoiu, tööohutuse ja sotsiaalkindlustuse valdkonnas ja aitame dokumentide koostamisel.</w:t>
      </w:r>
    </w:p>
    <w:sectPr w:rsidR="00D95A20" w:rsidSect="004D3793">
      <w:pgSz w:w="11906" w:h="16838"/>
      <w:pgMar w:top="113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E176D"/>
    <w:rsid w:val="004D3793"/>
    <w:rsid w:val="00AE176D"/>
    <w:rsid w:val="00D95A20"/>
    <w:rsid w:val="00F1124D"/>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7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176D"/>
    <w:rPr>
      <w:b/>
      <w:bCs/>
    </w:rPr>
  </w:style>
  <w:style w:type="paragraph" w:styleId="NormalWeb">
    <w:name w:val="Normal (Web)"/>
    <w:basedOn w:val="Normal"/>
    <w:uiPriority w:val="99"/>
    <w:unhideWhenUsed/>
    <w:rsid w:val="00AE176D"/>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BalloonText">
    <w:name w:val="Balloon Text"/>
    <w:basedOn w:val="Normal"/>
    <w:link w:val="BalloonTextChar"/>
    <w:uiPriority w:val="99"/>
    <w:semiHidden/>
    <w:unhideWhenUsed/>
    <w:rsid w:val="00AE1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7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630</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Maramaa</dc:creator>
  <cp:lastModifiedBy>Maramaa</cp:lastModifiedBy>
  <cp:revision>2</cp:revision>
  <dcterms:created xsi:type="dcterms:W3CDTF">2018-08-16T07:43:00Z</dcterms:created>
  <dcterms:modified xsi:type="dcterms:W3CDTF">2018-08-16T08:01:00Z</dcterms:modified>
</cp:coreProperties>
</file>